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76004AB8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77031">
            <w:rPr>
              <w:b/>
              <w:sz w:val="24"/>
              <w:szCs w:val="24"/>
            </w:rPr>
            <w:t>AUGUST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7EE0EC08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D56BC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proofErr w:type="spellStart"/>
      <w:r w:rsidR="00725157" w:rsidRPr="00BF5D18">
        <w:rPr>
          <w:color w:val="2E74B5" w:themeColor="accent5" w:themeShade="BF"/>
          <w:u w:val="single"/>
        </w:rPr>
        <w:t>Box</w:t>
      </w:r>
      <w:proofErr w:type="spellEnd"/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50064E4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C10FAF">
        <w:rPr>
          <w:color w:val="2E74B5" w:themeColor="accent5" w:themeShade="BF"/>
        </w:rPr>
        <w:t>7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F7716D">
        <w:rPr>
          <w:color w:val="2E74B5" w:themeColor="accent5" w:themeShade="BF"/>
        </w:rPr>
        <w:t>4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2A04A597" w14:textId="77777777" w:rsidR="00F7716D" w:rsidRDefault="00F7716D"/>
    <w:p w14:paraId="6CFC4A21" w14:textId="029BB1E7" w:rsidR="007300C6" w:rsidRDefault="007300C6">
      <w:r>
        <w:br w:type="page"/>
      </w:r>
    </w:p>
    <w:p w14:paraId="06298E52" w14:textId="5250CA1A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77031">
            <w:rPr>
              <w:b/>
              <w:sz w:val="24"/>
              <w:szCs w:val="24"/>
            </w:rPr>
            <w:t>AUGUST</w:t>
          </w:r>
          <w:r w:rsidR="001419EC">
            <w:rPr>
              <w:b/>
              <w:sz w:val="24"/>
              <w:szCs w:val="24"/>
            </w:rPr>
            <w:t xml:space="preserve">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5A6E158D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>End of Month AUGUST 2022 on hand:</w:t>
      </w:r>
    </w:p>
    <w:p w14:paraId="4C3D9FF5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</w:p>
    <w:p w14:paraId="732E5CC2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>1) 100 LL</w:t>
      </w:r>
    </w:p>
    <w:p w14:paraId="54A967C0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a) Fuel Farm Tank:   3143.3 gallons</w:t>
      </w:r>
    </w:p>
    <w:p w14:paraId="01FE1289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b) Fuel Truck Tank:  397.7 gallons</w:t>
      </w:r>
    </w:p>
    <w:p w14:paraId="0B19C6D3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            Total: 3541.0 gallons</w:t>
      </w:r>
    </w:p>
    <w:p w14:paraId="0477B50A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● 100LL PURCHASED THIS MONTH: NONE</w:t>
      </w:r>
    </w:p>
    <w:p w14:paraId="7A4DF7C4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</w:p>
    <w:p w14:paraId="1C271C35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>2) JET A</w:t>
      </w:r>
    </w:p>
    <w:p w14:paraId="2371D66D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a) Fuel Farm Tank: 9549.9 gallons</w:t>
      </w:r>
    </w:p>
    <w:p w14:paraId="613BDDC6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b) Fuel Truck Tank: 642.6 gallons</w:t>
      </w:r>
    </w:p>
    <w:p w14:paraId="50B7EE63" w14:textId="77777777" w:rsidR="000F338E" w:rsidRPr="000F338E" w:rsidRDefault="000F338E" w:rsidP="000F338E">
      <w:pPr>
        <w:spacing w:after="0" w:line="240" w:lineRule="auto"/>
        <w:rPr>
          <w:rFonts w:ascii="Consolas" w:hAnsi="Consolas" w:cs="Consolas"/>
        </w:rPr>
      </w:pPr>
      <w:r w:rsidRPr="000F338E">
        <w:rPr>
          <w:rFonts w:ascii="Consolas" w:hAnsi="Consolas" w:cs="Consolas"/>
        </w:rPr>
        <w:t xml:space="preserve">               Total: 8192.5 gallons</w:t>
      </w:r>
    </w:p>
    <w:p w14:paraId="68582D82" w14:textId="1B796305" w:rsidR="004075CA" w:rsidRDefault="000F338E" w:rsidP="000F338E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 w:rsidRPr="000F338E">
        <w:rPr>
          <w:rFonts w:ascii="Consolas" w:hAnsi="Consolas" w:cs="Consolas"/>
        </w:rPr>
        <w:t xml:space="preserve">   ● JET A PURCHASED THIS MONTH: NONE</w:t>
      </w:r>
      <w:r w:rsidR="004075CA"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17F54823" w14:textId="452B7953" w:rsidR="001325E9" w:rsidRPr="00EA569A" w:rsidRDefault="00077031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b/>
              <w:sz w:val="24"/>
              <w:szCs w:val="24"/>
            </w:rPr>
            <w:t>AUGUST 2022</w:t>
          </w:r>
        </w:sdtContent>
      </w:sdt>
      <w:r w:rsidR="00F16F33">
        <w:rPr>
          <w:b/>
        </w:rPr>
        <w:t xml:space="preserve"> </w:t>
      </w:r>
    </w:p>
    <w:p w14:paraId="0D42A105" w14:textId="387FF88A" w:rsidR="00B253A3" w:rsidRDefault="005A70FF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5A70FF">
        <w:drawing>
          <wp:inline distT="0" distB="0" distL="0" distR="0" wp14:anchorId="6EB9BB61" wp14:editId="72F1E588">
            <wp:extent cx="6492240" cy="4357370"/>
            <wp:effectExtent l="0" t="0" r="381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435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0FED3" w14:textId="77777777" w:rsidR="00C050A4" w:rsidRDefault="00C050A4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8CC8A42" w14:textId="343C0A43" w:rsidR="000C6397" w:rsidRDefault="00E951B3" w:rsidP="006256B6">
      <w:pPr>
        <w:spacing w:after="0" w:line="240" w:lineRule="auto"/>
        <w:ind w:left="1260" w:hanging="126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** </w:t>
      </w:r>
      <w:r w:rsidR="000C6397">
        <w:rPr>
          <w:rFonts w:ascii="Consolas" w:hAnsi="Consolas"/>
          <w:b/>
          <w:bCs/>
          <w:iCs/>
          <w:sz w:val="24"/>
          <w:szCs w:val="24"/>
        </w:rPr>
        <w:t>NOTE:</w:t>
      </w:r>
      <w:r w:rsidR="006256B6">
        <w:rPr>
          <w:rFonts w:ascii="Consolas" w:hAnsi="Consolas"/>
          <w:b/>
          <w:bCs/>
          <w:iCs/>
          <w:sz w:val="24"/>
          <w:szCs w:val="24"/>
        </w:rPr>
        <w:tab/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C4AFA55" w:rsidR="007B7905" w:rsidRPr="00EA569A" w:rsidRDefault="00077031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b/>
              <w:sz w:val="24"/>
              <w:szCs w:val="24"/>
            </w:rPr>
            <w:t>AUGUST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2A9E6C47" w:rsidR="008A7EE0" w:rsidRDefault="009B5701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9B5701">
        <w:drawing>
          <wp:inline distT="0" distB="0" distL="0" distR="0" wp14:anchorId="787DAACE" wp14:editId="4A21A87C">
            <wp:extent cx="6305550" cy="360299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13" cy="361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1F38780A" w:rsidR="003D3D79" w:rsidRDefault="009B5701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9B5701">
        <w:drawing>
          <wp:inline distT="0" distB="0" distL="0" distR="0" wp14:anchorId="57FB68DD" wp14:editId="7B537FC9">
            <wp:extent cx="6210300" cy="3520021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824" cy="352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7364" w14:textId="342AFC55" w:rsidR="004B4DA8" w:rsidRDefault="00C31AFB" w:rsidP="004B4DA8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01F0E7C" wp14:editId="187155BA">
            <wp:extent cx="6492240" cy="5264150"/>
            <wp:effectExtent l="0" t="0" r="3810" b="1270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7D7BD7CA-2FD1-4F8B-6C3A-F9557FBF73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4B4DA8" w:rsidSect="003529A0">
      <w:headerReference w:type="default" r:id="rId12"/>
      <w:footerReference w:type="default" r:id="rId13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849C" w14:textId="77777777" w:rsidR="0049320C" w:rsidRDefault="0049320C" w:rsidP="001D46EF">
      <w:pPr>
        <w:spacing w:after="0" w:line="240" w:lineRule="auto"/>
      </w:pPr>
      <w:r>
        <w:separator/>
      </w:r>
    </w:p>
  </w:endnote>
  <w:endnote w:type="continuationSeparator" w:id="0">
    <w:p w14:paraId="41078E0D" w14:textId="77777777" w:rsidR="0049320C" w:rsidRDefault="0049320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36B9" w14:textId="77777777" w:rsidR="0049320C" w:rsidRDefault="0049320C" w:rsidP="001D46EF">
      <w:pPr>
        <w:spacing w:after="0" w:line="240" w:lineRule="auto"/>
      </w:pPr>
      <w:r>
        <w:separator/>
      </w:r>
    </w:p>
  </w:footnote>
  <w:footnote w:type="continuationSeparator" w:id="0">
    <w:p w14:paraId="3DF5B171" w14:textId="77777777" w:rsidR="0049320C" w:rsidRDefault="0049320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6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2EC0F54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775F5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328F"/>
    <w:rsid w:val="001A4660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E88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496F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7ABE"/>
    <w:rsid w:val="003153A0"/>
    <w:rsid w:val="00316500"/>
    <w:rsid w:val="00316604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764C"/>
    <w:rsid w:val="00351524"/>
    <w:rsid w:val="003529A0"/>
    <w:rsid w:val="003530A8"/>
    <w:rsid w:val="00357D21"/>
    <w:rsid w:val="003621D8"/>
    <w:rsid w:val="003630A5"/>
    <w:rsid w:val="0036508E"/>
    <w:rsid w:val="00366497"/>
    <w:rsid w:val="00374B69"/>
    <w:rsid w:val="003752AB"/>
    <w:rsid w:val="00377BA7"/>
    <w:rsid w:val="00380B2C"/>
    <w:rsid w:val="003842D1"/>
    <w:rsid w:val="003867E8"/>
    <w:rsid w:val="003872DC"/>
    <w:rsid w:val="003872FF"/>
    <w:rsid w:val="00387863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82552"/>
    <w:rsid w:val="00583041"/>
    <w:rsid w:val="005833A5"/>
    <w:rsid w:val="0058782E"/>
    <w:rsid w:val="00594A5E"/>
    <w:rsid w:val="00594C5F"/>
    <w:rsid w:val="00596C10"/>
    <w:rsid w:val="00597BE7"/>
    <w:rsid w:val="005A0405"/>
    <w:rsid w:val="005A1800"/>
    <w:rsid w:val="005A2265"/>
    <w:rsid w:val="005A46B0"/>
    <w:rsid w:val="005A664C"/>
    <w:rsid w:val="005A70FF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20A7"/>
    <w:rsid w:val="00604CE6"/>
    <w:rsid w:val="00605FE5"/>
    <w:rsid w:val="00607DA6"/>
    <w:rsid w:val="00612B46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54F8"/>
    <w:rsid w:val="006568F2"/>
    <w:rsid w:val="00661335"/>
    <w:rsid w:val="00665F18"/>
    <w:rsid w:val="0066782A"/>
    <w:rsid w:val="00667D91"/>
    <w:rsid w:val="0068729C"/>
    <w:rsid w:val="00687ADB"/>
    <w:rsid w:val="006903CC"/>
    <w:rsid w:val="00696E12"/>
    <w:rsid w:val="006A01E0"/>
    <w:rsid w:val="006A0942"/>
    <w:rsid w:val="006A0A05"/>
    <w:rsid w:val="006A16F1"/>
    <w:rsid w:val="006A1973"/>
    <w:rsid w:val="006A1A9D"/>
    <w:rsid w:val="006A7753"/>
    <w:rsid w:val="006B2215"/>
    <w:rsid w:val="006B568A"/>
    <w:rsid w:val="006B678B"/>
    <w:rsid w:val="006C78FF"/>
    <w:rsid w:val="006D2CB7"/>
    <w:rsid w:val="006D3D4B"/>
    <w:rsid w:val="006D6416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74D3"/>
    <w:rsid w:val="00880870"/>
    <w:rsid w:val="00881938"/>
    <w:rsid w:val="008830DF"/>
    <w:rsid w:val="00884D5B"/>
    <w:rsid w:val="0089299B"/>
    <w:rsid w:val="00895989"/>
    <w:rsid w:val="008A01CF"/>
    <w:rsid w:val="008A2959"/>
    <w:rsid w:val="008A2EB4"/>
    <w:rsid w:val="008A3A7F"/>
    <w:rsid w:val="008A63DF"/>
    <w:rsid w:val="008A7EE0"/>
    <w:rsid w:val="008B3EB6"/>
    <w:rsid w:val="008B4FBB"/>
    <w:rsid w:val="008B632A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3BFC"/>
    <w:rsid w:val="008D5405"/>
    <w:rsid w:val="008D54D9"/>
    <w:rsid w:val="008D671A"/>
    <w:rsid w:val="008D6F8B"/>
    <w:rsid w:val="008E192D"/>
    <w:rsid w:val="008E77EF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16A3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701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20EC"/>
    <w:rsid w:val="00B42897"/>
    <w:rsid w:val="00B4290F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6AF2"/>
    <w:rsid w:val="00B879DA"/>
    <w:rsid w:val="00B9118D"/>
    <w:rsid w:val="00B954D0"/>
    <w:rsid w:val="00BA1A77"/>
    <w:rsid w:val="00BA23B6"/>
    <w:rsid w:val="00BA280D"/>
    <w:rsid w:val="00BA4955"/>
    <w:rsid w:val="00BA7C49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505E"/>
    <w:rsid w:val="00BF5D18"/>
    <w:rsid w:val="00BF7CDD"/>
    <w:rsid w:val="00C018D0"/>
    <w:rsid w:val="00C050A4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109DE"/>
    <w:rsid w:val="00D11A59"/>
    <w:rsid w:val="00D12144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51B3"/>
    <w:rsid w:val="00E962A6"/>
    <w:rsid w:val="00E96987"/>
    <w:rsid w:val="00EA03F0"/>
    <w:rsid w:val="00EA0EB6"/>
    <w:rsid w:val="00EA129C"/>
    <w:rsid w:val="00EA569A"/>
    <w:rsid w:val="00EA6E0F"/>
    <w:rsid w:val="00EB0C2C"/>
    <w:rsid w:val="00EB275B"/>
    <w:rsid w:val="00EB5C1B"/>
    <w:rsid w:val="00EC0AE7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77476"/>
    <w:rsid w:val="00F814F0"/>
    <w:rsid w:val="00F81E76"/>
    <w:rsid w:val="00F83609"/>
    <w:rsid w:val="00F868C1"/>
    <w:rsid w:val="00F86A1B"/>
    <w:rsid w:val="00F961E7"/>
    <w:rsid w:val="00FA0D74"/>
    <w:rsid w:val="00FA3264"/>
    <w:rsid w:val="00FA42BF"/>
    <w:rsid w:val="00FA795C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AIRPORT%20MANAGER/Airport%20Operations%20and%20Fuel%20Report/2022/world%20fuel%20price%20over%20tim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gallon) PRICE OVER TIME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'[world fuel price over time.xlsx]Sheet1'!$C$1</c:f>
              <c:strCache>
                <c:ptCount val="1"/>
                <c:pt idx="0">
                  <c:v>JET A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'[world fuel price over time.xlsx]Sheet1'!$A$2:$A$400</c:f>
              <c:numCache>
                <c:formatCode>m/d/yyyy</c:formatCode>
                <c:ptCount val="399"/>
                <c:pt idx="0">
                  <c:v>44523</c:v>
                </c:pt>
                <c:pt idx="1">
                  <c:v>44544</c:v>
                </c:pt>
                <c:pt idx="2">
                  <c:v>44572</c:v>
                </c:pt>
                <c:pt idx="3">
                  <c:v>44579</c:v>
                </c:pt>
                <c:pt idx="4">
                  <c:v>44593</c:v>
                </c:pt>
                <c:pt idx="5">
                  <c:v>44607</c:v>
                </c:pt>
                <c:pt idx="6">
                  <c:v>44614</c:v>
                </c:pt>
                <c:pt idx="7">
                  <c:v>44635</c:v>
                </c:pt>
                <c:pt idx="8">
                  <c:v>44642</c:v>
                </c:pt>
                <c:pt idx="9">
                  <c:v>44649</c:v>
                </c:pt>
                <c:pt idx="10">
                  <c:v>44656</c:v>
                </c:pt>
                <c:pt idx="11">
                  <c:v>44663</c:v>
                </c:pt>
                <c:pt idx="12">
                  <c:v>44670</c:v>
                </c:pt>
                <c:pt idx="13">
                  <c:v>44677</c:v>
                </c:pt>
                <c:pt idx="14">
                  <c:v>44684</c:v>
                </c:pt>
                <c:pt idx="15">
                  <c:v>44691</c:v>
                </c:pt>
                <c:pt idx="16">
                  <c:v>44698</c:v>
                </c:pt>
                <c:pt idx="17">
                  <c:v>44705</c:v>
                </c:pt>
                <c:pt idx="18">
                  <c:v>44712</c:v>
                </c:pt>
                <c:pt idx="19">
                  <c:v>44719</c:v>
                </c:pt>
                <c:pt idx="20">
                  <c:v>44726</c:v>
                </c:pt>
                <c:pt idx="21">
                  <c:v>44733</c:v>
                </c:pt>
                <c:pt idx="22">
                  <c:v>44740</c:v>
                </c:pt>
                <c:pt idx="23">
                  <c:v>44747</c:v>
                </c:pt>
                <c:pt idx="24">
                  <c:v>44754</c:v>
                </c:pt>
                <c:pt idx="25">
                  <c:v>44761</c:v>
                </c:pt>
                <c:pt idx="26">
                  <c:v>44768</c:v>
                </c:pt>
                <c:pt idx="27">
                  <c:v>44775</c:v>
                </c:pt>
                <c:pt idx="28">
                  <c:v>44782</c:v>
                </c:pt>
                <c:pt idx="29">
                  <c:v>44789</c:v>
                </c:pt>
                <c:pt idx="30">
                  <c:v>44796</c:v>
                </c:pt>
                <c:pt idx="31">
                  <c:v>44803</c:v>
                </c:pt>
                <c:pt idx="32">
                  <c:v>44810</c:v>
                </c:pt>
              </c:numCache>
            </c:numRef>
          </c:xVal>
          <c:yVal>
            <c:numRef>
              <c:f>'[world fuel price over time.xlsx]Sheet1'!$C$2:$C$400</c:f>
              <c:numCache>
                <c:formatCode>"$"#,##0.00</c:formatCode>
                <c:ptCount val="399"/>
                <c:pt idx="0">
                  <c:v>2.87</c:v>
                </c:pt>
                <c:pt idx="1">
                  <c:v>2.77</c:v>
                </c:pt>
                <c:pt idx="2">
                  <c:v>2.97</c:v>
                </c:pt>
                <c:pt idx="3">
                  <c:v>3.12</c:v>
                </c:pt>
                <c:pt idx="4">
                  <c:v>3.18</c:v>
                </c:pt>
                <c:pt idx="5">
                  <c:v>3.4</c:v>
                </c:pt>
                <c:pt idx="6">
                  <c:v>3.35</c:v>
                </c:pt>
                <c:pt idx="7">
                  <c:v>4.1399999999999997</c:v>
                </c:pt>
                <c:pt idx="8">
                  <c:v>3.82</c:v>
                </c:pt>
                <c:pt idx="9">
                  <c:v>4.88</c:v>
                </c:pt>
                <c:pt idx="10">
                  <c:v>4.3899999999999997</c:v>
                </c:pt>
                <c:pt idx="11">
                  <c:v>4.37</c:v>
                </c:pt>
                <c:pt idx="12">
                  <c:v>4.43</c:v>
                </c:pt>
                <c:pt idx="13">
                  <c:v>4.74</c:v>
                </c:pt>
                <c:pt idx="14">
                  <c:v>4.9000000000000004</c:v>
                </c:pt>
                <c:pt idx="15">
                  <c:v>5.08</c:v>
                </c:pt>
                <c:pt idx="16">
                  <c:v>4.83</c:v>
                </c:pt>
                <c:pt idx="17">
                  <c:v>4.3899999999999997</c:v>
                </c:pt>
                <c:pt idx="18">
                  <c:v>4.3499999999999996</c:v>
                </c:pt>
                <c:pt idx="19">
                  <c:v>4.6500000000000004</c:v>
                </c:pt>
                <c:pt idx="20">
                  <c:v>4.93</c:v>
                </c:pt>
                <c:pt idx="21">
                  <c:v>5.0599999999999996</c:v>
                </c:pt>
                <c:pt idx="22">
                  <c:v>4.9400000000000004</c:v>
                </c:pt>
                <c:pt idx="23">
                  <c:v>4.63</c:v>
                </c:pt>
                <c:pt idx="24">
                  <c:v>4.2300000000000004</c:v>
                </c:pt>
                <c:pt idx="25">
                  <c:v>4.3499999999999996</c:v>
                </c:pt>
                <c:pt idx="26">
                  <c:v>4.2</c:v>
                </c:pt>
                <c:pt idx="27">
                  <c:v>4.1900000000000004</c:v>
                </c:pt>
                <c:pt idx="28">
                  <c:v>3.94</c:v>
                </c:pt>
                <c:pt idx="29">
                  <c:v>3.94</c:v>
                </c:pt>
                <c:pt idx="30">
                  <c:v>4.07</c:v>
                </c:pt>
                <c:pt idx="31">
                  <c:v>4.3499999999999996</c:v>
                </c:pt>
                <c:pt idx="32">
                  <c:v>4.1399999999999997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E19-48C9-BCD4-F8242C9A160D}"/>
            </c:ext>
          </c:extLst>
        </c:ser>
        <c:ser>
          <c:idx val="1"/>
          <c:order val="1"/>
          <c:tx>
            <c:strRef>
              <c:f>'[world fuel price over time.xlsx]Sheet1'!$B$1</c:f>
              <c:strCache>
                <c:ptCount val="1"/>
                <c:pt idx="0">
                  <c:v>100 LL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'[world fuel price over time.xlsx]Sheet1'!$A$2:$A$400</c:f>
              <c:numCache>
                <c:formatCode>m/d/yyyy</c:formatCode>
                <c:ptCount val="399"/>
                <c:pt idx="0">
                  <c:v>44523</c:v>
                </c:pt>
                <c:pt idx="1">
                  <c:v>44544</c:v>
                </c:pt>
                <c:pt idx="2">
                  <c:v>44572</c:v>
                </c:pt>
                <c:pt idx="3">
                  <c:v>44579</c:v>
                </c:pt>
                <c:pt idx="4">
                  <c:v>44593</c:v>
                </c:pt>
                <c:pt idx="5">
                  <c:v>44607</c:v>
                </c:pt>
                <c:pt idx="6">
                  <c:v>44614</c:v>
                </c:pt>
                <c:pt idx="7">
                  <c:v>44635</c:v>
                </c:pt>
                <c:pt idx="8">
                  <c:v>44642</c:v>
                </c:pt>
                <c:pt idx="9">
                  <c:v>44649</c:v>
                </c:pt>
                <c:pt idx="10">
                  <c:v>44656</c:v>
                </c:pt>
                <c:pt idx="11">
                  <c:v>44663</c:v>
                </c:pt>
                <c:pt idx="12">
                  <c:v>44670</c:v>
                </c:pt>
                <c:pt idx="13">
                  <c:v>44677</c:v>
                </c:pt>
                <c:pt idx="14">
                  <c:v>44684</c:v>
                </c:pt>
                <c:pt idx="15">
                  <c:v>44691</c:v>
                </c:pt>
                <c:pt idx="16">
                  <c:v>44698</c:v>
                </c:pt>
                <c:pt idx="17">
                  <c:v>44705</c:v>
                </c:pt>
                <c:pt idx="18">
                  <c:v>44712</c:v>
                </c:pt>
                <c:pt idx="19">
                  <c:v>44719</c:v>
                </c:pt>
                <c:pt idx="20">
                  <c:v>44726</c:v>
                </c:pt>
                <c:pt idx="21">
                  <c:v>44733</c:v>
                </c:pt>
                <c:pt idx="22">
                  <c:v>44740</c:v>
                </c:pt>
                <c:pt idx="23">
                  <c:v>44747</c:v>
                </c:pt>
                <c:pt idx="24">
                  <c:v>44754</c:v>
                </c:pt>
                <c:pt idx="25">
                  <c:v>44761</c:v>
                </c:pt>
                <c:pt idx="26">
                  <c:v>44768</c:v>
                </c:pt>
                <c:pt idx="27">
                  <c:v>44775</c:v>
                </c:pt>
                <c:pt idx="28">
                  <c:v>44782</c:v>
                </c:pt>
                <c:pt idx="29">
                  <c:v>44789</c:v>
                </c:pt>
                <c:pt idx="30">
                  <c:v>44796</c:v>
                </c:pt>
                <c:pt idx="31">
                  <c:v>44803</c:v>
                </c:pt>
                <c:pt idx="32">
                  <c:v>44810</c:v>
                </c:pt>
              </c:numCache>
            </c:numRef>
          </c:xVal>
          <c:yVal>
            <c:numRef>
              <c:f>'[world fuel price over time.xlsx]Sheet1'!$B$2:$B$400</c:f>
              <c:numCache>
                <c:formatCode>"$"#,##0.00</c:formatCode>
                <c:ptCount val="399"/>
                <c:pt idx="0">
                  <c:v>3.86</c:v>
                </c:pt>
                <c:pt idx="1">
                  <c:v>3.68</c:v>
                </c:pt>
                <c:pt idx="2">
                  <c:v>3.83</c:v>
                </c:pt>
                <c:pt idx="3">
                  <c:v>3.94</c:v>
                </c:pt>
                <c:pt idx="4">
                  <c:v>4.0599999999999996</c:v>
                </c:pt>
                <c:pt idx="5">
                  <c:v>4.25</c:v>
                </c:pt>
                <c:pt idx="6">
                  <c:v>4.26</c:v>
                </c:pt>
                <c:pt idx="7">
                  <c:v>4.92</c:v>
                </c:pt>
                <c:pt idx="8">
                  <c:v>4.8</c:v>
                </c:pt>
                <c:pt idx="9">
                  <c:v>5.0599999999999996</c:v>
                </c:pt>
                <c:pt idx="10">
                  <c:v>4.87</c:v>
                </c:pt>
                <c:pt idx="11">
                  <c:v>4.83</c:v>
                </c:pt>
                <c:pt idx="12">
                  <c:v>4.93</c:v>
                </c:pt>
                <c:pt idx="13">
                  <c:v>5.04</c:v>
                </c:pt>
                <c:pt idx="14">
                  <c:v>5.15</c:v>
                </c:pt>
                <c:pt idx="15">
                  <c:v>5.52</c:v>
                </c:pt>
                <c:pt idx="16">
                  <c:v>5.74</c:v>
                </c:pt>
                <c:pt idx="17">
                  <c:v>5.81</c:v>
                </c:pt>
                <c:pt idx="18">
                  <c:v>5.8</c:v>
                </c:pt>
                <c:pt idx="19">
                  <c:v>5.18</c:v>
                </c:pt>
                <c:pt idx="20">
                  <c:v>6.39</c:v>
                </c:pt>
                <c:pt idx="21">
                  <c:v>6.27</c:v>
                </c:pt>
                <c:pt idx="22">
                  <c:v>6</c:v>
                </c:pt>
                <c:pt idx="23">
                  <c:v>5.93</c:v>
                </c:pt>
                <c:pt idx="24">
                  <c:v>5.19</c:v>
                </c:pt>
                <c:pt idx="25">
                  <c:v>5.2</c:v>
                </c:pt>
                <c:pt idx="26">
                  <c:v>5.0199999999999996</c:v>
                </c:pt>
                <c:pt idx="27">
                  <c:v>4.8899999999999997</c:v>
                </c:pt>
                <c:pt idx="28">
                  <c:v>4.54</c:v>
                </c:pt>
                <c:pt idx="29">
                  <c:v>4.63</c:v>
                </c:pt>
                <c:pt idx="30">
                  <c:v>4.62</c:v>
                </c:pt>
                <c:pt idx="31">
                  <c:v>4.57</c:v>
                </c:pt>
                <c:pt idx="32">
                  <c:v>4.4400000000000004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E19-48C9-BCD4-F8242C9A16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</c:valAx>
      <c:valAx>
        <c:axId val="4656805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5C374C"/>
    <w:rsid w:val="006A552B"/>
    <w:rsid w:val="008F0C48"/>
    <w:rsid w:val="00D14BB2"/>
    <w:rsid w:val="00DC5C71"/>
    <w:rsid w:val="00E0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1842</TotalTime>
  <Pages>5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 2022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286</cp:revision>
  <cp:lastPrinted>2020-09-08T14:32:00Z</cp:lastPrinted>
  <dcterms:created xsi:type="dcterms:W3CDTF">2021-09-13T20:08:00Z</dcterms:created>
  <dcterms:modified xsi:type="dcterms:W3CDTF">2022-09-09T13:40:00Z</dcterms:modified>
</cp:coreProperties>
</file>